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AB643" w14:textId="77777777" w:rsidR="00C73066" w:rsidRDefault="00C73066" w:rsidP="00C73066">
      <w:r>
        <w:rPr>
          <w:noProof/>
        </w:rPr>
        <w:drawing>
          <wp:anchor distT="0" distB="0" distL="114300" distR="114300" simplePos="0" relativeHeight="251660288" behindDoc="0" locked="0" layoutInCell="1" allowOverlap="1" wp14:anchorId="090F0062" wp14:editId="6B31436E">
            <wp:simplePos x="0" y="0"/>
            <wp:positionH relativeFrom="page">
              <wp:align>left</wp:align>
            </wp:positionH>
            <wp:positionV relativeFrom="page">
              <wp:posOffset>289560</wp:posOffset>
            </wp:positionV>
            <wp:extent cx="3493770" cy="922020"/>
            <wp:effectExtent l="0" t="0" r="0" b="0"/>
            <wp:wrapSquare wrapText="bothSides"/>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93770" cy="92202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0" distR="0" simplePos="0" relativeHeight="251659264" behindDoc="0" locked="1" layoutInCell="1" allowOverlap="0" wp14:anchorId="36F14B9E" wp14:editId="3A79F59F">
                <wp:simplePos x="0" y="0"/>
                <wp:positionH relativeFrom="margin">
                  <wp:posOffset>4756150</wp:posOffset>
                </wp:positionH>
                <wp:positionV relativeFrom="margin">
                  <wp:posOffset>-274320</wp:posOffset>
                </wp:positionV>
                <wp:extent cx="1993265" cy="1444625"/>
                <wp:effectExtent l="0" t="0" r="0" b="6350"/>
                <wp:wrapSquare wrapText="largest"/>
                <wp:docPr id="2" name="Text Box 2"/>
                <wp:cNvGraphicFramePr/>
                <a:graphic xmlns:a="http://schemas.openxmlformats.org/drawingml/2006/main">
                  <a:graphicData uri="http://schemas.microsoft.com/office/word/2010/wordprocessingShape">
                    <wps:wsp>
                      <wps:cNvSpPr txBox="1"/>
                      <wps:spPr>
                        <a:xfrm>
                          <a:off x="0" y="0"/>
                          <a:ext cx="1993265" cy="1444625"/>
                        </a:xfrm>
                        <a:prstGeom prst="rect">
                          <a:avLst/>
                        </a:prstGeom>
                        <a:noFill/>
                        <a:ln w="6350">
                          <a:noFill/>
                        </a:ln>
                      </wps:spPr>
                      <wps:txbx>
                        <w:txbxContent>
                          <w:p w14:paraId="73F357E5" w14:textId="77777777" w:rsidR="00C73066" w:rsidRPr="0069402F" w:rsidRDefault="00C73066" w:rsidP="00C73066">
                            <w:pPr>
                              <w:pStyle w:val="NoSpacing"/>
                              <w:jc w:val="right"/>
                              <w:rPr>
                                <w:sz w:val="20"/>
                                <w:szCs w:val="20"/>
                              </w:rPr>
                            </w:pPr>
                            <w:r>
                              <w:rPr>
                                <w:b/>
                                <w:bCs/>
                                <w:sz w:val="20"/>
                                <w:szCs w:val="20"/>
                              </w:rPr>
                              <w:t>C</w:t>
                            </w:r>
                            <w:r w:rsidRPr="0069402F">
                              <w:rPr>
                                <w:b/>
                                <w:bCs/>
                                <w:sz w:val="20"/>
                                <w:szCs w:val="20"/>
                              </w:rPr>
                              <w:t>ontact</w:t>
                            </w:r>
                            <w:r w:rsidRPr="0069402F">
                              <w:rPr>
                                <w:sz w:val="20"/>
                                <w:szCs w:val="20"/>
                              </w:rPr>
                              <w:t>:</w:t>
                            </w:r>
                          </w:p>
                          <w:p w14:paraId="597FED97" w14:textId="77777777" w:rsidR="00C73066" w:rsidRPr="0069402F" w:rsidRDefault="00C73066" w:rsidP="00C73066">
                            <w:pPr>
                              <w:pStyle w:val="NoSpacing"/>
                              <w:jc w:val="right"/>
                              <w:rPr>
                                <w:sz w:val="20"/>
                                <w:szCs w:val="20"/>
                              </w:rPr>
                            </w:pPr>
                            <w:r>
                              <w:rPr>
                                <w:sz w:val="20"/>
                                <w:szCs w:val="20"/>
                              </w:rPr>
                              <w:t>Evans Mandes</w:t>
                            </w:r>
                          </w:p>
                          <w:p w14:paraId="1BCAAE5F" w14:textId="77777777" w:rsidR="00C73066" w:rsidRPr="002B71A2" w:rsidRDefault="00A973F2" w:rsidP="00C73066">
                            <w:pPr>
                              <w:pStyle w:val="NoSpacing"/>
                              <w:jc w:val="right"/>
                              <w:rPr>
                                <w:sz w:val="20"/>
                                <w:szCs w:val="20"/>
                              </w:rPr>
                            </w:pPr>
                            <w:hyperlink r:id="rId6" w:history="1">
                              <w:r w:rsidR="00C73066" w:rsidRPr="00D2334C">
                                <w:rPr>
                                  <w:rStyle w:val="Hyperlink"/>
                                  <w:sz w:val="20"/>
                                  <w:szCs w:val="20"/>
                                </w:rPr>
                                <w:t>emandes@hodgespart.com</w:t>
                              </w:r>
                            </w:hyperlink>
                            <w:r w:rsidR="00C73066" w:rsidRPr="00D2334C">
                              <w:rPr>
                                <w:sz w:val="20"/>
                                <w:szCs w:val="20"/>
                              </w:rPr>
                              <w:t xml:space="preserve"> </w:t>
                            </w:r>
                          </w:p>
                          <w:p w14:paraId="4990374C" w14:textId="77777777" w:rsidR="00C73066" w:rsidRPr="00D2334C" w:rsidRDefault="00C73066" w:rsidP="00C73066">
                            <w:pPr>
                              <w:pStyle w:val="NoSpacing"/>
                              <w:jc w:val="right"/>
                              <w:rPr>
                                <w:sz w:val="20"/>
                                <w:szCs w:val="20"/>
                              </w:rPr>
                            </w:pPr>
                            <w:r w:rsidRPr="00D2334C">
                              <w:rPr>
                                <w:color w:val="212121"/>
                                <w:sz w:val="20"/>
                                <w:szCs w:val="20"/>
                                <w:lang w:val="fr-FR"/>
                              </w:rPr>
                              <w:t>703-677-2087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6F14B9E" id="_x0000_t202" coordsize="21600,21600" o:spt="202" path="m,l,21600r21600,l21600,xe">
                <v:stroke joinstyle="miter"/>
                <v:path gradientshapeok="t" o:connecttype="rect"/>
              </v:shapetype>
              <v:shape id="Text Box 2" o:spid="_x0000_s1026" type="#_x0000_t202" style="position:absolute;margin-left:374.5pt;margin-top:-21.6pt;width:156.95pt;height:113.75pt;z-index:251659264;visibility:visible;mso-wrap-style:non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" o:allowoverlap="f" filled="f" stroked="f" strokeweight=".5pt">
                <v:textbox style="mso-fit-shape-to-text:t">
                  <w:txbxContent>
                    <w:p w14:paraId="73F357E5" w14:textId="77777777" w:rsidR="00C73066" w:rsidRPr="0069402F" w:rsidRDefault="00C73066" w:rsidP="00C73066">
                      <w:pPr>
                        <w:pStyle w:val="NoSpacing"/>
                        <w:jc w:val="right"/>
                        <w:rPr>
                          <w:sz w:val="20"/>
                          <w:szCs w:val="20"/>
                        </w:rPr>
                      </w:pPr>
                      <w:r>
                        <w:rPr>
                          <w:b/>
                          <w:bCs/>
                          <w:sz w:val="20"/>
                          <w:szCs w:val="20"/>
                        </w:rPr>
                        <w:t>C</w:t>
                      </w:r>
                      <w:r w:rsidRPr="0069402F">
                        <w:rPr>
                          <w:b/>
                          <w:bCs/>
                          <w:sz w:val="20"/>
                          <w:szCs w:val="20"/>
                        </w:rPr>
                        <w:t>ontact</w:t>
                      </w:r>
                      <w:r w:rsidRPr="0069402F">
                        <w:rPr>
                          <w:sz w:val="20"/>
                          <w:szCs w:val="20"/>
                        </w:rPr>
                        <w:t>:</w:t>
                      </w:r>
                    </w:p>
                    <w:p w14:paraId="597FED97" w14:textId="77777777" w:rsidR="00C73066" w:rsidRPr="0069402F" w:rsidRDefault="00C73066" w:rsidP="00C73066">
                      <w:pPr>
                        <w:pStyle w:val="NoSpacing"/>
                        <w:jc w:val="right"/>
                        <w:rPr>
                          <w:sz w:val="20"/>
                          <w:szCs w:val="20"/>
                        </w:rPr>
                      </w:pPr>
                      <w:r>
                        <w:rPr>
                          <w:sz w:val="20"/>
                          <w:szCs w:val="20"/>
                        </w:rPr>
                        <w:t>Evans Mandes</w:t>
                      </w:r>
                    </w:p>
                    <w:p w14:paraId="1BCAAE5F" w14:textId="77777777" w:rsidR="00C73066" w:rsidRPr="002B71A2" w:rsidRDefault="008E111E" w:rsidP="00C73066">
                      <w:pPr>
                        <w:pStyle w:val="NoSpacing"/>
                        <w:jc w:val="right"/>
                        <w:rPr>
                          <w:sz w:val="20"/>
                          <w:szCs w:val="20"/>
                        </w:rPr>
                      </w:pPr>
                      <w:hyperlink r:id="rId7" w:history="1">
                        <w:r w:rsidR="00C73066" w:rsidRPr="00D2334C">
                          <w:rPr>
                            <w:rStyle w:val="Hyperlink"/>
                            <w:sz w:val="20"/>
                            <w:szCs w:val="20"/>
                          </w:rPr>
                          <w:t>emandes@hodgespart.com</w:t>
                        </w:r>
                      </w:hyperlink>
                      <w:r w:rsidR="00C73066" w:rsidRPr="00D2334C">
                        <w:rPr>
                          <w:sz w:val="20"/>
                          <w:szCs w:val="20"/>
                        </w:rPr>
                        <w:t xml:space="preserve"> </w:t>
                      </w:r>
                    </w:p>
                    <w:p w14:paraId="4990374C" w14:textId="77777777" w:rsidR="00C73066" w:rsidRPr="00D2334C" w:rsidRDefault="00C73066" w:rsidP="00C73066">
                      <w:pPr>
                        <w:pStyle w:val="NoSpacing"/>
                        <w:jc w:val="right"/>
                        <w:rPr>
                          <w:sz w:val="20"/>
                          <w:szCs w:val="20"/>
                        </w:rPr>
                      </w:pPr>
                      <w:r w:rsidRPr="00D2334C">
                        <w:rPr>
                          <w:color w:val="212121"/>
                          <w:sz w:val="20"/>
                          <w:szCs w:val="20"/>
                          <w:lang w:val="fr-FR"/>
                        </w:rPr>
                        <w:t>703-677-2087</w:t>
                      </w:r>
                    </w:p>
                  </w:txbxContent>
                </v:textbox>
                <w10:wrap type="square" side="largest" anchorx="margin" anchory="margin"/>
                <w10:anchorlock/>
              </v:shape>
            </w:pict>
          </mc:Fallback>
        </mc:AlternateContent>
      </w:r>
    </w:p>
    <w:p w14:paraId="52D8B322" w14:textId="77777777" w:rsidR="00C73066" w:rsidRDefault="00C73066" w:rsidP="008A31E9">
      <w:pPr>
        <w:jc w:val="center"/>
        <w:rPr>
          <w:rFonts w:ascii="Arial" w:hAnsi="Arial" w:cs="Arial"/>
          <w:b/>
          <w:bCs/>
          <w:sz w:val="27"/>
          <w:szCs w:val="27"/>
        </w:rPr>
      </w:pPr>
    </w:p>
    <w:p w14:paraId="32D2FBD0" w14:textId="77777777" w:rsidR="00C73066" w:rsidRDefault="00C73066" w:rsidP="008A31E9">
      <w:pPr>
        <w:jc w:val="center"/>
        <w:rPr>
          <w:rFonts w:ascii="Arial" w:hAnsi="Arial" w:cs="Arial"/>
          <w:b/>
          <w:bCs/>
          <w:sz w:val="27"/>
          <w:szCs w:val="27"/>
        </w:rPr>
      </w:pPr>
    </w:p>
    <w:p w14:paraId="38B1F730" w14:textId="7913507A" w:rsidR="006B34B6" w:rsidRDefault="00C73066" w:rsidP="008A31E9">
      <w:pPr>
        <w:jc w:val="center"/>
        <w:rPr>
          <w:b/>
          <w:bCs/>
          <w:sz w:val="24"/>
          <w:szCs w:val="24"/>
        </w:rPr>
      </w:pPr>
      <w:r w:rsidRPr="00C73066">
        <w:rPr>
          <w:rFonts w:ascii="Arial" w:hAnsi="Arial" w:cs="Arial"/>
          <w:b/>
          <w:bCs/>
          <w:sz w:val="27"/>
          <w:szCs w:val="27"/>
        </w:rPr>
        <w:t xml:space="preserve">STRONGER TOGETHER: BLUE RIDGE AREA FOOD BANK </w:t>
      </w:r>
      <w:r w:rsidRPr="00C73066">
        <w:rPr>
          <w:rFonts w:ascii="Arial" w:hAnsi="Arial" w:cs="Arial"/>
          <w:b/>
          <w:bCs/>
          <w:sz w:val="27"/>
          <w:szCs w:val="27"/>
        </w:rPr>
        <w:br/>
        <w:t>FORTIFIES PARTNER NETWORK WITH MORE THAN $2 MILLION IN GRANTS</w:t>
      </w:r>
      <w:r w:rsidRPr="008A31E9">
        <w:rPr>
          <w:b/>
          <w:bCs/>
          <w:sz w:val="32"/>
          <w:szCs w:val="32"/>
        </w:rPr>
        <w:t xml:space="preserve"> </w:t>
      </w:r>
      <w:r w:rsidR="000E1E1A">
        <w:rPr>
          <w:b/>
          <w:bCs/>
          <w:sz w:val="32"/>
          <w:szCs w:val="32"/>
        </w:rPr>
        <w:br/>
      </w:r>
      <w:r w:rsidR="000E1E1A" w:rsidRPr="00C73066">
        <w:rPr>
          <w:rFonts w:ascii="Arial" w:hAnsi="Arial" w:cs="Arial"/>
          <w:i/>
          <w:iCs/>
        </w:rPr>
        <w:t>In</w:t>
      </w:r>
      <w:r w:rsidR="00E77259">
        <w:rPr>
          <w:rFonts w:ascii="Arial" w:hAnsi="Arial" w:cs="Arial"/>
          <w:i/>
          <w:iCs/>
        </w:rPr>
        <w:t xml:space="preserve"> a h</w:t>
      </w:r>
      <w:r w:rsidR="00E40E36" w:rsidRPr="00C73066">
        <w:rPr>
          <w:rFonts w:ascii="Arial" w:hAnsi="Arial" w:cs="Arial"/>
          <w:i/>
          <w:iCs/>
        </w:rPr>
        <w:t xml:space="preserve">istoric </w:t>
      </w:r>
      <w:r w:rsidR="00E77259">
        <w:rPr>
          <w:rFonts w:ascii="Arial" w:hAnsi="Arial" w:cs="Arial"/>
          <w:i/>
          <w:iCs/>
        </w:rPr>
        <w:t>i</w:t>
      </w:r>
      <w:r w:rsidR="00E40E36" w:rsidRPr="00C73066">
        <w:rPr>
          <w:rFonts w:ascii="Arial" w:hAnsi="Arial" w:cs="Arial"/>
          <w:i/>
          <w:iCs/>
        </w:rPr>
        <w:t>nvestment,</w:t>
      </w:r>
      <w:r w:rsidR="00A973F2">
        <w:rPr>
          <w:rFonts w:ascii="Arial" w:hAnsi="Arial" w:cs="Arial"/>
          <w:i/>
          <w:iCs/>
        </w:rPr>
        <w:t xml:space="preserve"> </w:t>
      </w:r>
      <w:r w:rsidR="00E40E36" w:rsidRPr="00C73066">
        <w:rPr>
          <w:rFonts w:ascii="Arial" w:hAnsi="Arial" w:cs="Arial"/>
          <w:i/>
          <w:iCs/>
        </w:rPr>
        <w:t xml:space="preserve">120 Agency Capacity Fund </w:t>
      </w:r>
      <w:r w:rsidR="00E77259">
        <w:rPr>
          <w:rFonts w:ascii="Arial" w:hAnsi="Arial" w:cs="Arial"/>
          <w:i/>
          <w:iCs/>
        </w:rPr>
        <w:t>g</w:t>
      </w:r>
      <w:r w:rsidR="00E40E36" w:rsidRPr="00C73066">
        <w:rPr>
          <w:rFonts w:ascii="Arial" w:hAnsi="Arial" w:cs="Arial"/>
          <w:i/>
          <w:iCs/>
        </w:rPr>
        <w:t xml:space="preserve">rants </w:t>
      </w:r>
      <w:r w:rsidR="008E111E">
        <w:rPr>
          <w:rFonts w:ascii="Arial" w:hAnsi="Arial" w:cs="Arial"/>
          <w:i/>
          <w:iCs/>
        </w:rPr>
        <w:t>were</w:t>
      </w:r>
      <w:r>
        <w:rPr>
          <w:rFonts w:ascii="Arial" w:hAnsi="Arial" w:cs="Arial"/>
          <w:i/>
          <w:iCs/>
        </w:rPr>
        <w:t xml:space="preserve"> </w:t>
      </w:r>
      <w:r w:rsidR="00E77259">
        <w:rPr>
          <w:rFonts w:ascii="Arial" w:hAnsi="Arial" w:cs="Arial"/>
          <w:i/>
          <w:iCs/>
        </w:rPr>
        <w:t>a</w:t>
      </w:r>
      <w:r>
        <w:rPr>
          <w:rFonts w:ascii="Arial" w:hAnsi="Arial" w:cs="Arial"/>
          <w:i/>
          <w:iCs/>
        </w:rPr>
        <w:t>warded</w:t>
      </w:r>
      <w:r w:rsidR="008E111E">
        <w:rPr>
          <w:rFonts w:ascii="Arial" w:hAnsi="Arial" w:cs="Arial"/>
          <w:i/>
          <w:iCs/>
        </w:rPr>
        <w:t xml:space="preserve"> in 2021</w:t>
      </w:r>
    </w:p>
    <w:p w14:paraId="672052DD" w14:textId="1205EC1B" w:rsidR="00B52C41" w:rsidRDefault="002710C4" w:rsidP="00220AE6">
      <w:pPr>
        <w:rPr>
          <w:rFonts w:ascii="Arial" w:hAnsi="Arial" w:cs="Arial"/>
          <w:sz w:val="24"/>
          <w:szCs w:val="24"/>
        </w:rPr>
      </w:pPr>
      <w:r>
        <w:rPr>
          <w:rFonts w:ascii="Arial" w:hAnsi="Arial" w:cs="Arial"/>
          <w:b/>
          <w:bCs/>
          <w:sz w:val="24"/>
          <w:szCs w:val="24"/>
        </w:rPr>
        <w:t>VERONA</w:t>
      </w:r>
      <w:r w:rsidR="00A25C42" w:rsidRPr="00C73066">
        <w:rPr>
          <w:rFonts w:ascii="Arial" w:hAnsi="Arial" w:cs="Arial"/>
          <w:b/>
          <w:bCs/>
          <w:sz w:val="24"/>
          <w:szCs w:val="24"/>
        </w:rPr>
        <w:t>, Va. (</w:t>
      </w:r>
      <w:r w:rsidR="009A0F11">
        <w:rPr>
          <w:rFonts w:ascii="Arial" w:hAnsi="Arial" w:cs="Arial"/>
          <w:b/>
          <w:bCs/>
          <w:sz w:val="24"/>
          <w:szCs w:val="24"/>
        </w:rPr>
        <w:t>Nov</w:t>
      </w:r>
      <w:r w:rsidR="00A25C42" w:rsidRPr="00C73066">
        <w:rPr>
          <w:rFonts w:ascii="Arial" w:hAnsi="Arial" w:cs="Arial"/>
          <w:b/>
          <w:bCs/>
          <w:sz w:val="24"/>
          <w:szCs w:val="24"/>
        </w:rPr>
        <w:t>. XX, 2021)</w:t>
      </w:r>
      <w:r w:rsidR="00A25C42" w:rsidRPr="00C73066">
        <w:rPr>
          <w:rFonts w:ascii="Arial" w:hAnsi="Arial" w:cs="Arial"/>
          <w:sz w:val="24"/>
          <w:szCs w:val="24"/>
        </w:rPr>
        <w:t xml:space="preserve"> – </w:t>
      </w:r>
      <w:r w:rsidR="00CE46DF">
        <w:rPr>
          <w:rFonts w:ascii="Arial" w:hAnsi="Arial" w:cs="Arial"/>
          <w:sz w:val="24"/>
          <w:szCs w:val="24"/>
        </w:rPr>
        <w:t xml:space="preserve">The Blue Ridge Area Food Bank recently awarded more than $2 million in grants to 120 of its partner agencies through the organization’s Agency Capacity Fund. </w:t>
      </w:r>
      <w:r w:rsidR="00B52C41">
        <w:rPr>
          <w:rFonts w:ascii="Arial" w:hAnsi="Arial" w:cs="Arial"/>
          <w:sz w:val="24"/>
          <w:szCs w:val="24"/>
        </w:rPr>
        <w:t xml:space="preserve">The amount–totaling </w:t>
      </w:r>
      <w:r w:rsidR="00B52C41" w:rsidRPr="00C73066">
        <w:rPr>
          <w:rFonts w:ascii="Arial" w:hAnsi="Arial" w:cs="Arial"/>
          <w:sz w:val="24"/>
          <w:szCs w:val="24"/>
        </w:rPr>
        <w:t>$2,037,582</w:t>
      </w:r>
      <w:r w:rsidR="00B52C41">
        <w:rPr>
          <w:rFonts w:ascii="Arial" w:hAnsi="Arial" w:cs="Arial"/>
          <w:sz w:val="24"/>
          <w:szCs w:val="24"/>
        </w:rPr>
        <w:t xml:space="preserve">–is the largest </w:t>
      </w:r>
      <w:r w:rsidR="008E111E">
        <w:rPr>
          <w:rFonts w:ascii="Arial" w:hAnsi="Arial" w:cs="Arial"/>
          <w:sz w:val="24"/>
          <w:szCs w:val="24"/>
        </w:rPr>
        <w:t>annual total awarded since this donor-driven strategy began</w:t>
      </w:r>
      <w:r w:rsidR="00B52C41">
        <w:rPr>
          <w:rFonts w:ascii="Arial" w:hAnsi="Arial" w:cs="Arial"/>
          <w:sz w:val="24"/>
          <w:szCs w:val="24"/>
        </w:rPr>
        <w:t>.</w:t>
      </w:r>
    </w:p>
    <w:p w14:paraId="22658D27" w14:textId="69274216" w:rsidR="00CE46DF" w:rsidRDefault="00AF0EE7" w:rsidP="00220AE6">
      <w:pPr>
        <w:rPr>
          <w:rFonts w:ascii="Arial" w:hAnsi="Arial" w:cs="Arial"/>
          <w:sz w:val="24"/>
          <w:szCs w:val="24"/>
        </w:rPr>
      </w:pPr>
      <w:r>
        <w:rPr>
          <w:rFonts w:ascii="Arial" w:hAnsi="Arial" w:cs="Arial"/>
          <w:sz w:val="24"/>
          <w:szCs w:val="24"/>
        </w:rPr>
        <w:t>L</w:t>
      </w:r>
      <w:r w:rsidR="00CE46DF" w:rsidRPr="00C73066">
        <w:rPr>
          <w:rFonts w:ascii="Arial" w:hAnsi="Arial" w:cs="Arial"/>
          <w:sz w:val="24"/>
          <w:szCs w:val="24"/>
        </w:rPr>
        <w:t xml:space="preserve">aunched in 2016, the </w:t>
      </w:r>
      <w:r>
        <w:rPr>
          <w:rFonts w:ascii="Arial" w:hAnsi="Arial" w:cs="Arial"/>
          <w:sz w:val="24"/>
          <w:szCs w:val="24"/>
        </w:rPr>
        <w:t>F</w:t>
      </w:r>
      <w:r w:rsidR="00CE46DF" w:rsidRPr="00C73066">
        <w:rPr>
          <w:rFonts w:ascii="Arial" w:hAnsi="Arial" w:cs="Arial"/>
          <w:sz w:val="24"/>
          <w:szCs w:val="24"/>
        </w:rPr>
        <w:t>und</w:t>
      </w:r>
      <w:r w:rsidR="00CE46DF">
        <w:rPr>
          <w:rFonts w:ascii="Arial" w:hAnsi="Arial" w:cs="Arial"/>
          <w:sz w:val="24"/>
          <w:szCs w:val="24"/>
        </w:rPr>
        <w:t xml:space="preserve"> </w:t>
      </w:r>
      <w:r w:rsidR="00CE46DF" w:rsidRPr="00C73066">
        <w:rPr>
          <w:rFonts w:ascii="Arial" w:hAnsi="Arial" w:cs="Arial"/>
          <w:sz w:val="24"/>
          <w:szCs w:val="24"/>
        </w:rPr>
        <w:t>support</w:t>
      </w:r>
      <w:r w:rsidR="00CE46DF">
        <w:rPr>
          <w:rFonts w:ascii="Arial" w:hAnsi="Arial" w:cs="Arial"/>
          <w:sz w:val="24"/>
          <w:szCs w:val="24"/>
        </w:rPr>
        <w:t>s</w:t>
      </w:r>
      <w:r w:rsidR="00CE46DF" w:rsidRPr="00C73066">
        <w:rPr>
          <w:rFonts w:ascii="Arial" w:hAnsi="Arial" w:cs="Arial"/>
          <w:sz w:val="24"/>
          <w:szCs w:val="24"/>
        </w:rPr>
        <w:t xml:space="preserve"> the Food Bank’s </w:t>
      </w:r>
      <w:r w:rsidR="00CE46DF">
        <w:rPr>
          <w:rFonts w:ascii="Arial" w:hAnsi="Arial" w:cs="Arial"/>
          <w:sz w:val="24"/>
          <w:szCs w:val="24"/>
        </w:rPr>
        <w:t>network of more than 200 community partners with financial grants</w:t>
      </w:r>
      <w:r>
        <w:rPr>
          <w:rFonts w:ascii="Arial" w:hAnsi="Arial" w:cs="Arial"/>
          <w:sz w:val="24"/>
          <w:szCs w:val="24"/>
        </w:rPr>
        <w:t xml:space="preserve"> each year</w:t>
      </w:r>
      <w:r w:rsidR="00CE46DF">
        <w:rPr>
          <w:rFonts w:ascii="Arial" w:hAnsi="Arial" w:cs="Arial"/>
          <w:sz w:val="24"/>
          <w:szCs w:val="24"/>
        </w:rPr>
        <w:t xml:space="preserve"> to invest in necessary equipment and other resources to maintain and enhance their food distribution efforts.</w:t>
      </w:r>
      <w:r w:rsidR="00823FDA">
        <w:rPr>
          <w:rFonts w:ascii="Arial" w:hAnsi="Arial" w:cs="Arial"/>
          <w:sz w:val="24"/>
          <w:szCs w:val="24"/>
        </w:rPr>
        <w:t xml:space="preserve"> This year’s fund was especially critical following the COVID-19 pandemic and its effects on the Food Bank’s network. </w:t>
      </w:r>
    </w:p>
    <w:p w14:paraId="12A096D3" w14:textId="07D0C108" w:rsidR="009A0F11" w:rsidRDefault="009A0F11" w:rsidP="009A0F11">
      <w:r>
        <w:rPr>
          <w:rFonts w:ascii="Arial" w:hAnsi="Arial" w:cs="Arial"/>
          <w:color w:val="000000"/>
          <w:sz w:val="24"/>
          <w:szCs w:val="24"/>
        </w:rPr>
        <w:t xml:space="preserve">“We’re immensely proud of the impact that the Agency Capacity Fund has had on our partner network over the past five years,” said Michael McKee, CEO of the Blue Ridge Area Food Bank. “But the past 18 months truly shined a light on the pervasiveness of food insecurity across our service area. To meet the increased and sustained demand caused by the pandemic, we needed to make significant investments to allow our partners to bolster their operations, and more broadly, support our strategic initiative of improving the nutrition and health of </w:t>
      </w:r>
      <w:r w:rsidR="008E111E">
        <w:rPr>
          <w:rFonts w:ascii="Arial" w:hAnsi="Arial" w:cs="Arial"/>
          <w:color w:val="000000"/>
          <w:sz w:val="24"/>
          <w:szCs w:val="24"/>
        </w:rPr>
        <w:t>people who need food</w:t>
      </w:r>
      <w:r>
        <w:rPr>
          <w:rFonts w:ascii="Arial" w:hAnsi="Arial" w:cs="Arial"/>
          <w:color w:val="000000"/>
          <w:sz w:val="24"/>
          <w:szCs w:val="24"/>
        </w:rPr>
        <w:t>.”</w:t>
      </w:r>
    </w:p>
    <w:p w14:paraId="4647ADD0" w14:textId="7E018764" w:rsidR="00823FDA" w:rsidRPr="00CA4F78" w:rsidRDefault="00823FDA" w:rsidP="00906EDA">
      <w:pPr>
        <w:pStyle w:val="NoSpacing"/>
        <w:rPr>
          <w:rFonts w:ascii="Times New Roman" w:hAnsi="Times New Roman"/>
          <w:szCs w:val="24"/>
        </w:rPr>
      </w:pPr>
      <w:r w:rsidRPr="00CA4F78">
        <w:rPr>
          <w:shd w:val="clear" w:color="auto" w:fill="FFFFFF"/>
        </w:rPr>
        <w:t>From June 2020 to July 2021, the Food Bank and its partners served an average of </w:t>
      </w:r>
      <w:r w:rsidRPr="00906EDA">
        <w:t xml:space="preserve">118,300 people per month, </w:t>
      </w:r>
      <w:r w:rsidRPr="00CA4F78">
        <w:rPr>
          <w:shd w:val="clear" w:color="auto" w:fill="FFFFFF"/>
        </w:rPr>
        <w:t xml:space="preserve">distributing </w:t>
      </w:r>
      <w:r w:rsidRPr="00906EDA">
        <w:t>28.7 million pounds of food</w:t>
      </w:r>
      <w:r w:rsidRPr="00CA4F78">
        <w:rPr>
          <w:shd w:val="clear" w:color="auto" w:fill="FFFFFF"/>
        </w:rPr>
        <w:t>—the equivalent of almost 24 million meals—including </w:t>
      </w:r>
      <w:r w:rsidRPr="00906EDA">
        <w:t>six million pounds of produce</w:t>
      </w:r>
      <w:r w:rsidRPr="00CA4F78">
        <w:rPr>
          <w:shd w:val="clear" w:color="auto" w:fill="FFFFFF"/>
        </w:rPr>
        <w:t>.</w:t>
      </w:r>
    </w:p>
    <w:p w14:paraId="5BBBCEE1" w14:textId="77777777" w:rsidR="00823FDA" w:rsidRDefault="00823FDA" w:rsidP="00906EDA">
      <w:pPr>
        <w:pStyle w:val="NoSpacing"/>
        <w:rPr>
          <w:szCs w:val="24"/>
        </w:rPr>
      </w:pPr>
    </w:p>
    <w:p w14:paraId="2DAD79C5" w14:textId="4E869F92" w:rsidR="000E1E1A" w:rsidRPr="00C73066" w:rsidRDefault="008E111E" w:rsidP="000E1E1A">
      <w:pPr>
        <w:rPr>
          <w:rFonts w:ascii="Arial" w:hAnsi="Arial" w:cs="Arial"/>
          <w:sz w:val="24"/>
          <w:szCs w:val="24"/>
        </w:rPr>
      </w:pPr>
      <w:r>
        <w:rPr>
          <w:rFonts w:ascii="Arial" w:hAnsi="Arial" w:cs="Arial"/>
          <w:sz w:val="24"/>
          <w:szCs w:val="24"/>
        </w:rPr>
        <w:t xml:space="preserve">In </w:t>
      </w:r>
      <w:r w:rsidR="000E1E1A" w:rsidRPr="00C73066">
        <w:rPr>
          <w:rFonts w:ascii="Arial" w:hAnsi="Arial" w:cs="Arial"/>
          <w:sz w:val="24"/>
          <w:szCs w:val="24"/>
        </w:rPr>
        <w:t xml:space="preserve">the </w:t>
      </w:r>
      <w:r w:rsidR="00451386">
        <w:rPr>
          <w:rFonts w:ascii="Arial" w:hAnsi="Arial" w:cs="Arial"/>
          <w:sz w:val="24"/>
          <w:szCs w:val="24"/>
        </w:rPr>
        <w:t>spring</w:t>
      </w:r>
      <w:r w:rsidR="00AF0EE7">
        <w:rPr>
          <w:rFonts w:ascii="Arial" w:hAnsi="Arial" w:cs="Arial"/>
          <w:sz w:val="24"/>
          <w:szCs w:val="24"/>
        </w:rPr>
        <w:t xml:space="preserve"> of</w:t>
      </w:r>
      <w:r w:rsidR="000E1E1A" w:rsidRPr="00C73066">
        <w:rPr>
          <w:rFonts w:ascii="Arial" w:hAnsi="Arial" w:cs="Arial"/>
          <w:sz w:val="24"/>
          <w:szCs w:val="24"/>
        </w:rPr>
        <w:t xml:space="preserve"> 2021, all </w:t>
      </w:r>
      <w:r w:rsidR="00AF0EE7" w:rsidRPr="00C73066">
        <w:rPr>
          <w:rFonts w:ascii="Arial" w:hAnsi="Arial" w:cs="Arial"/>
          <w:sz w:val="24"/>
          <w:szCs w:val="24"/>
        </w:rPr>
        <w:t>20</w:t>
      </w:r>
      <w:r w:rsidR="00AF0EE7">
        <w:rPr>
          <w:rFonts w:ascii="Arial" w:hAnsi="Arial" w:cs="Arial"/>
          <w:sz w:val="24"/>
          <w:szCs w:val="24"/>
        </w:rPr>
        <w:t>7</w:t>
      </w:r>
      <w:r w:rsidR="00AF0EE7" w:rsidRPr="00C73066">
        <w:rPr>
          <w:rFonts w:ascii="Arial" w:hAnsi="Arial" w:cs="Arial"/>
          <w:sz w:val="24"/>
          <w:szCs w:val="24"/>
        </w:rPr>
        <w:t xml:space="preserve"> </w:t>
      </w:r>
      <w:r w:rsidR="000E1E1A" w:rsidRPr="00C73066">
        <w:rPr>
          <w:rFonts w:ascii="Arial" w:hAnsi="Arial" w:cs="Arial"/>
          <w:sz w:val="24"/>
          <w:szCs w:val="24"/>
        </w:rPr>
        <w:t xml:space="preserve">partner food pantries, as well as </w:t>
      </w:r>
      <w:r w:rsidR="00AF0EE7" w:rsidRPr="00C73066">
        <w:rPr>
          <w:rFonts w:ascii="Arial" w:hAnsi="Arial" w:cs="Arial"/>
          <w:sz w:val="24"/>
          <w:szCs w:val="24"/>
        </w:rPr>
        <w:t>18</w:t>
      </w:r>
      <w:r w:rsidR="00AF0EE7">
        <w:rPr>
          <w:rFonts w:ascii="Arial" w:hAnsi="Arial" w:cs="Arial"/>
          <w:sz w:val="24"/>
          <w:szCs w:val="24"/>
        </w:rPr>
        <w:t>7</w:t>
      </w:r>
      <w:r w:rsidR="00AF0EE7" w:rsidRPr="00C73066">
        <w:rPr>
          <w:rFonts w:ascii="Arial" w:hAnsi="Arial" w:cs="Arial"/>
          <w:sz w:val="24"/>
          <w:szCs w:val="24"/>
        </w:rPr>
        <w:t xml:space="preserve"> </w:t>
      </w:r>
      <w:r w:rsidR="000E1E1A" w:rsidRPr="00C73066">
        <w:rPr>
          <w:rFonts w:ascii="Arial" w:hAnsi="Arial" w:cs="Arial"/>
          <w:sz w:val="24"/>
          <w:szCs w:val="24"/>
        </w:rPr>
        <w:t xml:space="preserve">program-site partners, were invited to apply for </w:t>
      </w:r>
      <w:r>
        <w:rPr>
          <w:rFonts w:ascii="Arial" w:hAnsi="Arial" w:cs="Arial"/>
          <w:sz w:val="24"/>
          <w:szCs w:val="24"/>
        </w:rPr>
        <w:t>awards</w:t>
      </w:r>
      <w:r w:rsidR="000E1E1A" w:rsidRPr="00C73066">
        <w:rPr>
          <w:rFonts w:ascii="Arial" w:hAnsi="Arial" w:cs="Arial"/>
          <w:sz w:val="24"/>
          <w:szCs w:val="24"/>
        </w:rPr>
        <w:t xml:space="preserve"> from the Agency Capacity Fund. </w:t>
      </w:r>
      <w:r>
        <w:rPr>
          <w:rFonts w:ascii="Arial" w:hAnsi="Arial" w:cs="Arial"/>
          <w:sz w:val="24"/>
          <w:szCs w:val="24"/>
        </w:rPr>
        <w:t>This year, i</w:t>
      </w:r>
      <w:r w:rsidR="000E1E1A" w:rsidRPr="00C73066">
        <w:rPr>
          <w:rFonts w:ascii="Arial" w:hAnsi="Arial" w:cs="Arial"/>
          <w:sz w:val="24"/>
          <w:szCs w:val="24"/>
        </w:rPr>
        <w:t>n addition to small grants for equipment, the Food Bank also offered</w:t>
      </w:r>
      <w:r w:rsidR="00AF0EE7">
        <w:rPr>
          <w:rFonts w:ascii="Arial" w:hAnsi="Arial" w:cs="Arial"/>
          <w:sz w:val="24"/>
          <w:szCs w:val="24"/>
        </w:rPr>
        <w:t xml:space="preserve"> partners</w:t>
      </w:r>
      <w:r w:rsidR="000E1E1A" w:rsidRPr="00C73066">
        <w:rPr>
          <w:rFonts w:ascii="Arial" w:hAnsi="Arial" w:cs="Arial"/>
          <w:sz w:val="24"/>
          <w:szCs w:val="24"/>
        </w:rPr>
        <w:t xml:space="preserve"> the opportunity to</w:t>
      </w:r>
      <w:r w:rsidR="000E1E1A" w:rsidRPr="00C73066">
        <w:rPr>
          <w:rFonts w:ascii="Arial" w:hAnsi="Arial" w:cs="Arial"/>
        </w:rPr>
        <w:t xml:space="preserve"> </w:t>
      </w:r>
      <w:r w:rsidR="000E1E1A" w:rsidRPr="00C73066">
        <w:rPr>
          <w:rFonts w:ascii="Arial" w:hAnsi="Arial" w:cs="Arial"/>
          <w:sz w:val="24"/>
          <w:szCs w:val="24"/>
        </w:rPr>
        <w:t xml:space="preserve">apply for large, capital grants for the first time. </w:t>
      </w:r>
      <w:r>
        <w:rPr>
          <w:rFonts w:ascii="Arial" w:hAnsi="Arial" w:cs="Arial"/>
          <w:sz w:val="24"/>
          <w:szCs w:val="24"/>
        </w:rPr>
        <w:t>Substantial investments can</w:t>
      </w:r>
      <w:r w:rsidR="000E1E1A" w:rsidRPr="00C73066">
        <w:rPr>
          <w:rFonts w:ascii="Arial" w:hAnsi="Arial" w:cs="Arial"/>
          <w:sz w:val="24"/>
          <w:szCs w:val="24"/>
        </w:rPr>
        <w:t xml:space="preserve"> help fund items like trucks and vans, contribute to pantry innovations and improvements, and even offer rent support to organizations moving to larger spaces.</w:t>
      </w:r>
    </w:p>
    <w:p w14:paraId="686981AA" w14:textId="1DA490FD" w:rsidR="00C77C42" w:rsidRPr="00C73066" w:rsidRDefault="00B05324" w:rsidP="00C77C42">
      <w:pPr>
        <w:rPr>
          <w:rFonts w:ascii="Arial" w:hAnsi="Arial" w:cs="Arial"/>
          <w:sz w:val="24"/>
          <w:szCs w:val="24"/>
        </w:rPr>
      </w:pPr>
      <w:r>
        <w:rPr>
          <w:rFonts w:ascii="Arial" w:hAnsi="Arial" w:cs="Arial"/>
          <w:sz w:val="24"/>
          <w:szCs w:val="24"/>
        </w:rPr>
        <w:t>As a result of the</w:t>
      </w:r>
      <w:r w:rsidR="00C77C42" w:rsidRPr="00C73066">
        <w:rPr>
          <w:rFonts w:ascii="Arial" w:hAnsi="Arial" w:cs="Arial"/>
          <w:sz w:val="24"/>
          <w:szCs w:val="24"/>
        </w:rPr>
        <w:t xml:space="preserve"> awards, the following </w:t>
      </w:r>
      <w:r w:rsidR="00E40E36" w:rsidRPr="00C73066">
        <w:rPr>
          <w:rFonts w:ascii="Arial" w:hAnsi="Arial" w:cs="Arial"/>
          <w:sz w:val="24"/>
          <w:szCs w:val="24"/>
        </w:rPr>
        <w:t xml:space="preserve">items </w:t>
      </w:r>
      <w:r w:rsidR="008E111E">
        <w:rPr>
          <w:rFonts w:ascii="Arial" w:hAnsi="Arial" w:cs="Arial"/>
          <w:sz w:val="24"/>
          <w:szCs w:val="24"/>
        </w:rPr>
        <w:t>have been and are being</w:t>
      </w:r>
      <w:r w:rsidR="00E40E36" w:rsidRPr="00C73066">
        <w:rPr>
          <w:rFonts w:ascii="Arial" w:hAnsi="Arial" w:cs="Arial"/>
          <w:sz w:val="24"/>
          <w:szCs w:val="24"/>
        </w:rPr>
        <w:t xml:space="preserve"> distributed</w:t>
      </w:r>
      <w:r>
        <w:rPr>
          <w:rFonts w:ascii="Arial" w:hAnsi="Arial" w:cs="Arial"/>
          <w:sz w:val="24"/>
          <w:szCs w:val="24"/>
        </w:rPr>
        <w:t xml:space="preserve"> to Food Bank partners</w:t>
      </w:r>
      <w:r w:rsidR="00C77C42" w:rsidRPr="00C73066">
        <w:rPr>
          <w:rFonts w:ascii="Arial" w:hAnsi="Arial" w:cs="Arial"/>
          <w:sz w:val="24"/>
          <w:szCs w:val="24"/>
        </w:rPr>
        <w:t xml:space="preserve">: </w:t>
      </w:r>
    </w:p>
    <w:p w14:paraId="6A35D40F" w14:textId="16ED4ACB" w:rsidR="00C77C42" w:rsidRPr="00C73066" w:rsidRDefault="00C77C42" w:rsidP="00C77C42">
      <w:pPr>
        <w:pStyle w:val="ListParagraph"/>
        <w:numPr>
          <w:ilvl w:val="0"/>
          <w:numId w:val="1"/>
        </w:numPr>
        <w:rPr>
          <w:rFonts w:ascii="Arial" w:hAnsi="Arial" w:cs="Arial"/>
          <w:sz w:val="24"/>
          <w:szCs w:val="24"/>
        </w:rPr>
      </w:pPr>
      <w:r w:rsidRPr="00C73066">
        <w:rPr>
          <w:rFonts w:ascii="Arial" w:hAnsi="Arial" w:cs="Arial"/>
          <w:sz w:val="24"/>
          <w:szCs w:val="24"/>
        </w:rPr>
        <w:t>96 computers, tab</w:t>
      </w:r>
      <w:r w:rsidR="00E40E36" w:rsidRPr="00C73066">
        <w:rPr>
          <w:rFonts w:ascii="Arial" w:hAnsi="Arial" w:cs="Arial"/>
          <w:sz w:val="24"/>
          <w:szCs w:val="24"/>
        </w:rPr>
        <w:t xml:space="preserve">lets and other technology enhancements </w:t>
      </w:r>
    </w:p>
    <w:p w14:paraId="285B17B4" w14:textId="1C369FB7" w:rsidR="00E40E36" w:rsidRPr="00C73066" w:rsidRDefault="00E40E36" w:rsidP="00C77C42">
      <w:pPr>
        <w:pStyle w:val="ListParagraph"/>
        <w:numPr>
          <w:ilvl w:val="0"/>
          <w:numId w:val="1"/>
        </w:numPr>
        <w:rPr>
          <w:rFonts w:ascii="Arial" w:hAnsi="Arial" w:cs="Arial"/>
          <w:sz w:val="24"/>
          <w:szCs w:val="24"/>
        </w:rPr>
      </w:pPr>
      <w:r w:rsidRPr="00C73066">
        <w:rPr>
          <w:rFonts w:ascii="Arial" w:hAnsi="Arial" w:cs="Arial"/>
          <w:sz w:val="24"/>
          <w:szCs w:val="24"/>
        </w:rPr>
        <w:t xml:space="preserve">80 coolers and freezers </w:t>
      </w:r>
    </w:p>
    <w:p w14:paraId="7699F516" w14:textId="5DE170FC" w:rsidR="00E40E36" w:rsidRPr="00C73066" w:rsidRDefault="00E40E36" w:rsidP="00C77C42">
      <w:pPr>
        <w:pStyle w:val="ListParagraph"/>
        <w:numPr>
          <w:ilvl w:val="0"/>
          <w:numId w:val="1"/>
        </w:numPr>
        <w:rPr>
          <w:rFonts w:ascii="Arial" w:hAnsi="Arial" w:cs="Arial"/>
          <w:sz w:val="24"/>
          <w:szCs w:val="24"/>
        </w:rPr>
      </w:pPr>
      <w:r w:rsidRPr="00C73066">
        <w:rPr>
          <w:rFonts w:ascii="Arial" w:hAnsi="Arial" w:cs="Arial"/>
          <w:sz w:val="24"/>
          <w:szCs w:val="24"/>
        </w:rPr>
        <w:t xml:space="preserve">52 supplies and space improvements </w:t>
      </w:r>
    </w:p>
    <w:p w14:paraId="2CB8672A" w14:textId="79470952" w:rsidR="00E40E36" w:rsidRPr="00C73066" w:rsidRDefault="00E40E36" w:rsidP="00C77C42">
      <w:pPr>
        <w:pStyle w:val="ListParagraph"/>
        <w:numPr>
          <w:ilvl w:val="0"/>
          <w:numId w:val="1"/>
        </w:numPr>
        <w:rPr>
          <w:rFonts w:ascii="Arial" w:hAnsi="Arial" w:cs="Arial"/>
          <w:sz w:val="24"/>
          <w:szCs w:val="24"/>
        </w:rPr>
      </w:pPr>
      <w:r w:rsidRPr="00C73066">
        <w:rPr>
          <w:rFonts w:ascii="Arial" w:hAnsi="Arial" w:cs="Arial"/>
          <w:sz w:val="24"/>
          <w:szCs w:val="24"/>
        </w:rPr>
        <w:t xml:space="preserve">39 </w:t>
      </w:r>
      <w:r w:rsidR="008E111E">
        <w:rPr>
          <w:rFonts w:ascii="Arial" w:hAnsi="Arial" w:cs="Arial"/>
          <w:sz w:val="24"/>
          <w:szCs w:val="24"/>
        </w:rPr>
        <w:t xml:space="preserve">awards for </w:t>
      </w:r>
      <w:r w:rsidRPr="00C73066">
        <w:rPr>
          <w:rFonts w:ascii="Arial" w:hAnsi="Arial" w:cs="Arial"/>
          <w:sz w:val="24"/>
          <w:szCs w:val="24"/>
        </w:rPr>
        <w:t>shelving, pallet jacks and floor scales</w:t>
      </w:r>
    </w:p>
    <w:p w14:paraId="5A2F4D3A" w14:textId="2BC5E222" w:rsidR="00E40E36" w:rsidRPr="00C73066" w:rsidRDefault="00E40E36" w:rsidP="00C77C42">
      <w:pPr>
        <w:pStyle w:val="ListParagraph"/>
        <w:numPr>
          <w:ilvl w:val="0"/>
          <w:numId w:val="1"/>
        </w:numPr>
        <w:rPr>
          <w:rFonts w:ascii="Arial" w:hAnsi="Arial" w:cs="Arial"/>
          <w:sz w:val="24"/>
          <w:szCs w:val="24"/>
        </w:rPr>
      </w:pPr>
      <w:r w:rsidRPr="00C73066">
        <w:rPr>
          <w:rFonts w:ascii="Arial" w:hAnsi="Arial" w:cs="Arial"/>
          <w:sz w:val="24"/>
          <w:szCs w:val="24"/>
        </w:rPr>
        <w:lastRenderedPageBreak/>
        <w:t xml:space="preserve">24 capital-improvement projects and expansions </w:t>
      </w:r>
    </w:p>
    <w:p w14:paraId="618109A4" w14:textId="0133013A" w:rsidR="00E40E36" w:rsidRPr="00C73066" w:rsidRDefault="00E40E36" w:rsidP="00C77C42">
      <w:pPr>
        <w:pStyle w:val="ListParagraph"/>
        <w:numPr>
          <w:ilvl w:val="0"/>
          <w:numId w:val="1"/>
        </w:numPr>
        <w:rPr>
          <w:rFonts w:ascii="Arial" w:hAnsi="Arial" w:cs="Arial"/>
          <w:sz w:val="24"/>
          <w:szCs w:val="24"/>
        </w:rPr>
      </w:pPr>
      <w:r w:rsidRPr="00C73066">
        <w:rPr>
          <w:rFonts w:ascii="Arial" w:hAnsi="Arial" w:cs="Arial"/>
          <w:sz w:val="24"/>
          <w:szCs w:val="24"/>
        </w:rPr>
        <w:t>17 walk-in coolers and freezers</w:t>
      </w:r>
    </w:p>
    <w:p w14:paraId="1CC2BCC1" w14:textId="0E72FB8B" w:rsidR="00E40E36" w:rsidRPr="00C73066" w:rsidRDefault="00E40E36" w:rsidP="00C77C42">
      <w:pPr>
        <w:pStyle w:val="ListParagraph"/>
        <w:numPr>
          <w:ilvl w:val="0"/>
          <w:numId w:val="1"/>
        </w:numPr>
        <w:rPr>
          <w:rFonts w:ascii="Arial" w:hAnsi="Arial" w:cs="Arial"/>
          <w:sz w:val="24"/>
          <w:szCs w:val="24"/>
        </w:rPr>
      </w:pPr>
      <w:r w:rsidRPr="00C73066">
        <w:rPr>
          <w:rFonts w:ascii="Arial" w:hAnsi="Arial" w:cs="Arial"/>
          <w:sz w:val="24"/>
          <w:szCs w:val="24"/>
        </w:rPr>
        <w:t>14 trucks and vans</w:t>
      </w:r>
    </w:p>
    <w:p w14:paraId="52666053" w14:textId="75035DC4" w:rsidR="00C77C42" w:rsidRDefault="00C77C42" w:rsidP="00C77C42">
      <w:pPr>
        <w:rPr>
          <w:rFonts w:ascii="Arial" w:hAnsi="Arial" w:cs="Arial"/>
          <w:sz w:val="24"/>
          <w:szCs w:val="24"/>
        </w:rPr>
      </w:pPr>
      <w:r w:rsidRPr="00C73066">
        <w:rPr>
          <w:rFonts w:ascii="Arial" w:hAnsi="Arial" w:cs="Arial"/>
          <w:sz w:val="24"/>
          <w:szCs w:val="24"/>
        </w:rPr>
        <w:t xml:space="preserve">McKee continued, “We would not be successful in our mission if it weren’t for the dedicated network of partners who cover our 12,000 square-mile service area. This is one of the largest investments </w:t>
      </w:r>
      <w:r w:rsidR="008E111E">
        <w:rPr>
          <w:rFonts w:ascii="Arial" w:hAnsi="Arial" w:cs="Arial"/>
          <w:sz w:val="24"/>
          <w:szCs w:val="24"/>
        </w:rPr>
        <w:t>this</w:t>
      </w:r>
      <w:r w:rsidR="008E111E" w:rsidRPr="00C73066">
        <w:rPr>
          <w:rFonts w:ascii="Arial" w:hAnsi="Arial" w:cs="Arial"/>
          <w:sz w:val="24"/>
          <w:szCs w:val="24"/>
        </w:rPr>
        <w:t xml:space="preserve"> </w:t>
      </w:r>
      <w:r w:rsidRPr="00C73066">
        <w:rPr>
          <w:rFonts w:ascii="Arial" w:hAnsi="Arial" w:cs="Arial"/>
          <w:sz w:val="24"/>
          <w:szCs w:val="24"/>
        </w:rPr>
        <w:t xml:space="preserve">food bank has made in its partner network, and we consider ourselves </w:t>
      </w:r>
      <w:r w:rsidR="00B05324">
        <w:rPr>
          <w:rFonts w:ascii="Arial" w:hAnsi="Arial" w:cs="Arial"/>
          <w:sz w:val="24"/>
          <w:szCs w:val="24"/>
        </w:rPr>
        <w:t>fortunate</w:t>
      </w:r>
      <w:r w:rsidRPr="00C73066">
        <w:rPr>
          <w:rFonts w:ascii="Arial" w:hAnsi="Arial" w:cs="Arial"/>
          <w:sz w:val="24"/>
          <w:szCs w:val="24"/>
        </w:rPr>
        <w:t xml:space="preserve"> </w:t>
      </w:r>
      <w:r w:rsidR="008E111E">
        <w:rPr>
          <w:rFonts w:ascii="Arial" w:hAnsi="Arial" w:cs="Arial"/>
          <w:sz w:val="24"/>
          <w:szCs w:val="24"/>
        </w:rPr>
        <w:t>that our</w:t>
      </w:r>
      <w:r w:rsidR="00B05324">
        <w:rPr>
          <w:rFonts w:ascii="Arial" w:hAnsi="Arial" w:cs="Arial"/>
          <w:sz w:val="24"/>
          <w:szCs w:val="24"/>
        </w:rPr>
        <w:t xml:space="preserve"> generous</w:t>
      </w:r>
      <w:r w:rsidRPr="00C73066">
        <w:rPr>
          <w:rFonts w:ascii="Arial" w:hAnsi="Arial" w:cs="Arial"/>
          <w:sz w:val="24"/>
          <w:szCs w:val="24"/>
        </w:rPr>
        <w:t xml:space="preserve"> donors </w:t>
      </w:r>
      <w:r w:rsidR="008E111E">
        <w:rPr>
          <w:rFonts w:ascii="Arial" w:hAnsi="Arial" w:cs="Arial"/>
          <w:sz w:val="24"/>
          <w:szCs w:val="24"/>
        </w:rPr>
        <w:t>entrust us with their gifts and have</w:t>
      </w:r>
      <w:r w:rsidRPr="00C73066">
        <w:rPr>
          <w:rFonts w:ascii="Arial" w:hAnsi="Arial" w:cs="Arial"/>
          <w:sz w:val="24"/>
          <w:szCs w:val="24"/>
        </w:rPr>
        <w:t xml:space="preserve"> supported our work throughout the pandemic.</w:t>
      </w:r>
      <w:r w:rsidR="00E40E36" w:rsidRPr="00C73066">
        <w:rPr>
          <w:rFonts w:ascii="Arial" w:hAnsi="Arial" w:cs="Arial"/>
          <w:sz w:val="24"/>
          <w:szCs w:val="24"/>
        </w:rPr>
        <w:t>”</w:t>
      </w:r>
      <w:r w:rsidRPr="00C73066">
        <w:rPr>
          <w:rFonts w:ascii="Arial" w:hAnsi="Arial" w:cs="Arial"/>
          <w:sz w:val="24"/>
          <w:szCs w:val="24"/>
        </w:rPr>
        <w:t xml:space="preserve">  </w:t>
      </w:r>
    </w:p>
    <w:p w14:paraId="7837F83B" w14:textId="32409821" w:rsidR="00060038" w:rsidRPr="00C73066" w:rsidRDefault="00060038" w:rsidP="000E1E1A">
      <w:pPr>
        <w:rPr>
          <w:rFonts w:ascii="Arial" w:hAnsi="Arial" w:cs="Arial"/>
          <w:sz w:val="24"/>
          <w:szCs w:val="24"/>
        </w:rPr>
      </w:pPr>
      <w:r>
        <w:rPr>
          <w:rFonts w:ascii="Arial" w:hAnsi="Arial" w:cs="Arial"/>
          <w:sz w:val="24"/>
          <w:szCs w:val="24"/>
        </w:rPr>
        <w:t xml:space="preserve">To learn more about the Blue Ridge Area Food Bank’s Agency Capacity Fund, visit </w:t>
      </w:r>
      <w:hyperlink r:id="rId8" w:history="1">
        <w:r w:rsidRPr="00FB2198">
          <w:rPr>
            <w:rStyle w:val="Hyperlink"/>
            <w:rFonts w:ascii="Arial" w:hAnsi="Arial" w:cs="Arial"/>
            <w:sz w:val="24"/>
            <w:szCs w:val="24"/>
          </w:rPr>
          <w:t>brafb.org/about-us/how-we-work/our-partners</w:t>
        </w:r>
      </w:hyperlink>
      <w:r>
        <w:rPr>
          <w:rFonts w:ascii="Arial" w:hAnsi="Arial" w:cs="Arial"/>
          <w:sz w:val="24"/>
          <w:szCs w:val="24"/>
        </w:rPr>
        <w:t xml:space="preserve">. </w:t>
      </w:r>
    </w:p>
    <w:p w14:paraId="2F1BC6CF" w14:textId="783CFE73" w:rsidR="000E1E1A" w:rsidRDefault="00C73066" w:rsidP="00C73066">
      <w:pPr>
        <w:jc w:val="center"/>
        <w:rPr>
          <w:sz w:val="24"/>
          <w:szCs w:val="24"/>
        </w:rPr>
      </w:pPr>
      <w:r>
        <w:rPr>
          <w:sz w:val="24"/>
          <w:szCs w:val="24"/>
        </w:rPr>
        <w:t>***</w:t>
      </w:r>
    </w:p>
    <w:p w14:paraId="219E6FE9" w14:textId="1D2F4288" w:rsidR="00C73066" w:rsidRDefault="00C73066" w:rsidP="00C73066">
      <w:pPr>
        <w:rPr>
          <w:rFonts w:ascii="Arial" w:hAnsi="Arial" w:cs="Arial"/>
          <w:sz w:val="24"/>
          <w:szCs w:val="24"/>
        </w:rPr>
      </w:pPr>
      <w:r w:rsidRPr="00C73066">
        <w:rPr>
          <w:rFonts w:ascii="Arial" w:hAnsi="Arial" w:cs="Arial"/>
          <w:b/>
          <w:bCs/>
          <w:sz w:val="24"/>
          <w:szCs w:val="24"/>
        </w:rPr>
        <w:t>About the Blue Ridge Area Food Bank</w:t>
      </w:r>
      <w:r>
        <w:rPr>
          <w:rFonts w:ascii="Arial" w:hAnsi="Arial" w:cs="Arial"/>
          <w:b/>
          <w:bCs/>
          <w:sz w:val="24"/>
          <w:szCs w:val="24"/>
        </w:rPr>
        <w:br/>
      </w:r>
      <w:r w:rsidRPr="00C73066">
        <w:rPr>
          <w:rFonts w:ascii="Arial" w:hAnsi="Arial" w:cs="Arial"/>
          <w:sz w:val="24"/>
          <w:szCs w:val="24"/>
        </w:rPr>
        <w:t>Founded in 1981 and headquartered in Verona, Virginia, the Blue Ridge Area Food Bank is proud to mark 40 years of providing nourishing food to our neighbors in need. As the largest organization alleviating hunger in western and central Virginia, the Food Bank serves an average of nearly 119,000 individuals each month across 25 counties and eight cities through distribution centers in Charlottesville, Lynchburg, Winchester, and Verona. This 40th year is like no other: Together with our network of 20</w:t>
      </w:r>
      <w:r w:rsidR="00AF0EE7">
        <w:rPr>
          <w:rFonts w:ascii="Arial" w:hAnsi="Arial" w:cs="Arial"/>
          <w:sz w:val="24"/>
          <w:szCs w:val="24"/>
        </w:rPr>
        <w:t>7</w:t>
      </w:r>
      <w:r w:rsidRPr="00C73066">
        <w:rPr>
          <w:rFonts w:ascii="Arial" w:hAnsi="Arial" w:cs="Arial"/>
          <w:sz w:val="24"/>
          <w:szCs w:val="24"/>
        </w:rPr>
        <w:t xml:space="preserve"> community partners and 18</w:t>
      </w:r>
      <w:r w:rsidR="00AF0EE7">
        <w:rPr>
          <w:rFonts w:ascii="Arial" w:hAnsi="Arial" w:cs="Arial"/>
          <w:sz w:val="24"/>
          <w:szCs w:val="24"/>
        </w:rPr>
        <w:t>7</w:t>
      </w:r>
      <w:r w:rsidRPr="00C73066">
        <w:rPr>
          <w:rFonts w:ascii="Arial" w:hAnsi="Arial" w:cs="Arial"/>
          <w:sz w:val="24"/>
          <w:szCs w:val="24"/>
        </w:rPr>
        <w:t xml:space="preserve"> program sites, we’re serving record numbers of Virginians during a prolonged pandemic and its associated economic impacts. We pledge to continue innovating and adapting to secure, store, and distribute more food to more individuals, families, children, and seniors in need. The Food Bank is a member of Feeding America, a national food bank association that supports 200 food banks across the United States providing 6 billion meals to 42 million people through 60,000 partner pantries. For more information, visit </w:t>
      </w:r>
      <w:hyperlink r:id="rId9" w:history="1">
        <w:r w:rsidRPr="00C73066">
          <w:rPr>
            <w:rFonts w:ascii="Arial" w:hAnsi="Arial" w:cs="Arial"/>
            <w:color w:val="0563C1" w:themeColor="hyperlink"/>
            <w:sz w:val="24"/>
            <w:szCs w:val="24"/>
            <w:u w:val="single"/>
          </w:rPr>
          <w:t>www.brafb.org</w:t>
        </w:r>
      </w:hyperlink>
      <w:r w:rsidRPr="00C73066">
        <w:rPr>
          <w:rFonts w:ascii="Arial" w:hAnsi="Arial" w:cs="Arial"/>
          <w:sz w:val="24"/>
          <w:szCs w:val="24"/>
        </w:rPr>
        <w:t xml:space="preserve">. </w:t>
      </w:r>
    </w:p>
    <w:p w14:paraId="6111C61B" w14:textId="7079A1B6" w:rsidR="00C73066" w:rsidRPr="00C73066" w:rsidRDefault="00C73066" w:rsidP="00C73066">
      <w:pPr>
        <w:jc w:val="center"/>
        <w:rPr>
          <w:rFonts w:ascii="Arial" w:hAnsi="Arial" w:cs="Arial"/>
          <w:b/>
          <w:bCs/>
          <w:sz w:val="24"/>
          <w:szCs w:val="24"/>
        </w:rPr>
      </w:pPr>
      <w:r>
        <w:rPr>
          <w:rFonts w:ascii="Arial" w:hAnsi="Arial" w:cs="Arial"/>
          <w:sz w:val="24"/>
          <w:szCs w:val="24"/>
        </w:rPr>
        <w:t>###</w:t>
      </w:r>
    </w:p>
    <w:p w14:paraId="713E15DB" w14:textId="77777777" w:rsidR="00C61FB9" w:rsidRPr="00220AE6" w:rsidRDefault="00C61FB9" w:rsidP="00220AE6">
      <w:pPr>
        <w:rPr>
          <w:sz w:val="24"/>
          <w:szCs w:val="24"/>
        </w:rPr>
      </w:pPr>
    </w:p>
    <w:sectPr w:rsidR="00C61FB9" w:rsidRPr="00220AE6" w:rsidSect="00C73066">
      <w:pgSz w:w="12240" w:h="15840"/>
      <w:pgMar w:top="1152"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40030"/>
    <w:multiLevelType w:val="hybridMultilevel"/>
    <w:tmpl w:val="A9546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1E9"/>
    <w:rsid w:val="000033C7"/>
    <w:rsid w:val="00004ED8"/>
    <w:rsid w:val="00060038"/>
    <w:rsid w:val="000C1A60"/>
    <w:rsid w:val="000E1E1A"/>
    <w:rsid w:val="00220AE6"/>
    <w:rsid w:val="002710C4"/>
    <w:rsid w:val="00291A11"/>
    <w:rsid w:val="002A4A55"/>
    <w:rsid w:val="00392AB1"/>
    <w:rsid w:val="00410980"/>
    <w:rsid w:val="00451386"/>
    <w:rsid w:val="004643AC"/>
    <w:rsid w:val="00491BCA"/>
    <w:rsid w:val="004F6BB0"/>
    <w:rsid w:val="00627E4A"/>
    <w:rsid w:val="006B34B6"/>
    <w:rsid w:val="00823FDA"/>
    <w:rsid w:val="008A31E9"/>
    <w:rsid w:val="008E111E"/>
    <w:rsid w:val="00906EDA"/>
    <w:rsid w:val="0098432A"/>
    <w:rsid w:val="009A0F11"/>
    <w:rsid w:val="009F1250"/>
    <w:rsid w:val="00A25C42"/>
    <w:rsid w:val="00A55366"/>
    <w:rsid w:val="00A973F2"/>
    <w:rsid w:val="00AF0EE7"/>
    <w:rsid w:val="00B05324"/>
    <w:rsid w:val="00B52C41"/>
    <w:rsid w:val="00C61FB9"/>
    <w:rsid w:val="00C73066"/>
    <w:rsid w:val="00C77C42"/>
    <w:rsid w:val="00CA4F78"/>
    <w:rsid w:val="00CE46DF"/>
    <w:rsid w:val="00E12AE6"/>
    <w:rsid w:val="00E40E36"/>
    <w:rsid w:val="00E77259"/>
    <w:rsid w:val="00EA66EC"/>
    <w:rsid w:val="00FB2198"/>
    <w:rsid w:val="00FC7E0A"/>
    <w:rsid w:val="00FF2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92FA0"/>
  <w15:chartTrackingRefBased/>
  <w15:docId w15:val="{46A9BE9E-E8FA-4C2D-8A2C-892C0D6A7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C42"/>
    <w:pPr>
      <w:ind w:left="720"/>
      <w:contextualSpacing/>
    </w:pPr>
  </w:style>
  <w:style w:type="character" w:styleId="Hyperlink">
    <w:name w:val="Hyperlink"/>
    <w:basedOn w:val="DefaultParagraphFont"/>
    <w:uiPriority w:val="99"/>
    <w:unhideWhenUsed/>
    <w:rsid w:val="00C73066"/>
    <w:rPr>
      <w:color w:val="0563C1" w:themeColor="hyperlink"/>
      <w:u w:val="single"/>
    </w:rPr>
  </w:style>
  <w:style w:type="character" w:styleId="UnresolvedMention">
    <w:name w:val="Unresolved Mention"/>
    <w:basedOn w:val="DefaultParagraphFont"/>
    <w:uiPriority w:val="99"/>
    <w:semiHidden/>
    <w:unhideWhenUsed/>
    <w:rsid w:val="00C73066"/>
    <w:rPr>
      <w:color w:val="605E5C"/>
      <w:shd w:val="clear" w:color="auto" w:fill="E1DFDD"/>
    </w:rPr>
  </w:style>
  <w:style w:type="paragraph" w:styleId="NoSpacing">
    <w:name w:val="No Spacing"/>
    <w:uiPriority w:val="1"/>
    <w:qFormat/>
    <w:rsid w:val="00C73066"/>
    <w:pPr>
      <w:spacing w:after="0" w:line="240" w:lineRule="auto"/>
    </w:pPr>
    <w:rPr>
      <w:rFonts w:ascii="Arial" w:hAnsi="Arial" w:cs="Arial"/>
      <w:sz w:val="24"/>
    </w:rPr>
  </w:style>
  <w:style w:type="character" w:customStyle="1" w:styleId="apple-converted-space">
    <w:name w:val="apple-converted-space"/>
    <w:basedOn w:val="DefaultParagraphFont"/>
    <w:rsid w:val="00823FDA"/>
  </w:style>
  <w:style w:type="character" w:styleId="Strong">
    <w:name w:val="Strong"/>
    <w:basedOn w:val="DefaultParagraphFont"/>
    <w:uiPriority w:val="22"/>
    <w:qFormat/>
    <w:rsid w:val="00823FDA"/>
    <w:rPr>
      <w:b/>
      <w:bCs/>
    </w:rPr>
  </w:style>
  <w:style w:type="character" w:styleId="CommentReference">
    <w:name w:val="annotation reference"/>
    <w:basedOn w:val="DefaultParagraphFont"/>
    <w:uiPriority w:val="99"/>
    <w:semiHidden/>
    <w:unhideWhenUsed/>
    <w:rsid w:val="00CA4F78"/>
    <w:rPr>
      <w:sz w:val="16"/>
      <w:szCs w:val="16"/>
    </w:rPr>
  </w:style>
  <w:style w:type="paragraph" w:styleId="CommentText">
    <w:name w:val="annotation text"/>
    <w:basedOn w:val="Normal"/>
    <w:link w:val="CommentTextChar"/>
    <w:uiPriority w:val="99"/>
    <w:semiHidden/>
    <w:unhideWhenUsed/>
    <w:rsid w:val="00CA4F78"/>
    <w:pPr>
      <w:spacing w:line="240" w:lineRule="auto"/>
    </w:pPr>
    <w:rPr>
      <w:sz w:val="20"/>
      <w:szCs w:val="20"/>
    </w:rPr>
  </w:style>
  <w:style w:type="character" w:customStyle="1" w:styleId="CommentTextChar">
    <w:name w:val="Comment Text Char"/>
    <w:basedOn w:val="DefaultParagraphFont"/>
    <w:link w:val="CommentText"/>
    <w:uiPriority w:val="99"/>
    <w:semiHidden/>
    <w:rsid w:val="00CA4F78"/>
    <w:rPr>
      <w:sz w:val="20"/>
      <w:szCs w:val="20"/>
    </w:rPr>
  </w:style>
  <w:style w:type="paragraph" w:styleId="CommentSubject">
    <w:name w:val="annotation subject"/>
    <w:basedOn w:val="CommentText"/>
    <w:next w:val="CommentText"/>
    <w:link w:val="CommentSubjectChar"/>
    <w:uiPriority w:val="99"/>
    <w:semiHidden/>
    <w:unhideWhenUsed/>
    <w:rsid w:val="00CA4F78"/>
    <w:rPr>
      <w:b/>
      <w:bCs/>
    </w:rPr>
  </w:style>
  <w:style w:type="character" w:customStyle="1" w:styleId="CommentSubjectChar">
    <w:name w:val="Comment Subject Char"/>
    <w:basedOn w:val="CommentTextChar"/>
    <w:link w:val="CommentSubject"/>
    <w:uiPriority w:val="99"/>
    <w:semiHidden/>
    <w:rsid w:val="00CA4F78"/>
    <w:rPr>
      <w:b/>
      <w:bCs/>
      <w:sz w:val="20"/>
      <w:szCs w:val="20"/>
    </w:rPr>
  </w:style>
  <w:style w:type="paragraph" w:styleId="Revision">
    <w:name w:val="Revision"/>
    <w:hidden/>
    <w:uiPriority w:val="99"/>
    <w:semiHidden/>
    <w:rsid w:val="00CA4F78"/>
    <w:pPr>
      <w:spacing w:after="0" w:line="240" w:lineRule="auto"/>
    </w:pPr>
  </w:style>
  <w:style w:type="character" w:styleId="FollowedHyperlink">
    <w:name w:val="FollowedHyperlink"/>
    <w:basedOn w:val="DefaultParagraphFont"/>
    <w:uiPriority w:val="99"/>
    <w:semiHidden/>
    <w:unhideWhenUsed/>
    <w:rsid w:val="00AF0E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80960">
      <w:bodyDiv w:val="1"/>
      <w:marLeft w:val="0"/>
      <w:marRight w:val="0"/>
      <w:marTop w:val="0"/>
      <w:marBottom w:val="0"/>
      <w:divBdr>
        <w:top w:val="none" w:sz="0" w:space="0" w:color="auto"/>
        <w:left w:val="none" w:sz="0" w:space="0" w:color="auto"/>
        <w:bottom w:val="none" w:sz="0" w:space="0" w:color="auto"/>
        <w:right w:val="none" w:sz="0" w:space="0" w:color="auto"/>
      </w:divBdr>
    </w:div>
    <w:div w:id="1327398499">
      <w:bodyDiv w:val="1"/>
      <w:marLeft w:val="0"/>
      <w:marRight w:val="0"/>
      <w:marTop w:val="0"/>
      <w:marBottom w:val="0"/>
      <w:divBdr>
        <w:top w:val="none" w:sz="0" w:space="0" w:color="auto"/>
        <w:left w:val="none" w:sz="0" w:space="0" w:color="auto"/>
        <w:bottom w:val="none" w:sz="0" w:space="0" w:color="auto"/>
        <w:right w:val="none" w:sz="0" w:space="0" w:color="auto"/>
      </w:divBdr>
    </w:div>
    <w:div w:id="168817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afb.org/about-us/how-we-work/our-partners/" TargetMode="External"/><Relationship Id="rId3" Type="http://schemas.openxmlformats.org/officeDocument/2006/relationships/settings" Target="settings.xml"/><Relationship Id="rId7" Type="http://schemas.openxmlformats.org/officeDocument/2006/relationships/hyperlink" Target="mailto:emandes@hodgespa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andes@hodgespart.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raf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Mandes</dc:creator>
  <cp:keywords/>
  <dc:description/>
  <cp:lastModifiedBy>Evans Mandes</cp:lastModifiedBy>
  <cp:revision>2</cp:revision>
  <cp:lastPrinted>2021-10-26T20:06:00Z</cp:lastPrinted>
  <dcterms:created xsi:type="dcterms:W3CDTF">2021-11-08T21:22:00Z</dcterms:created>
  <dcterms:modified xsi:type="dcterms:W3CDTF">2021-11-08T21:22:00Z</dcterms:modified>
</cp:coreProperties>
</file>